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41"/>
        <w:tblW w:w="9157" w:type="dxa"/>
        <w:tblBorders>
          <w:top w:val="single" w:sz="6" w:space="0" w:color="808080"/>
          <w:bottom w:val="single" w:sz="6" w:space="0" w:color="808080"/>
        </w:tblBorders>
        <w:tblCellMar>
          <w:top w:w="57" w:type="dxa"/>
          <w:left w:w="85" w:type="dxa"/>
          <w:bottom w:w="57" w:type="dxa"/>
          <w:right w:w="0" w:type="dxa"/>
        </w:tblCellMar>
        <w:tblLook w:val="04A0" w:firstRow="1" w:lastRow="0" w:firstColumn="1" w:lastColumn="0" w:noHBand="0" w:noVBand="1"/>
      </w:tblPr>
      <w:tblGrid>
        <w:gridCol w:w="2070"/>
        <w:gridCol w:w="7087"/>
      </w:tblGrid>
      <w:tr w:rsidR="003C04B8" w:rsidRPr="00E03499" w14:paraId="63EBD2EC" w14:textId="77777777" w:rsidTr="003C04B8">
        <w:tc>
          <w:tcPr>
            <w:tcW w:w="2070" w:type="dxa"/>
            <w:tcBorders>
              <w:top w:val="single" w:sz="6" w:space="0" w:color="808080"/>
              <w:left w:val="nil"/>
              <w:bottom w:val="single" w:sz="6" w:space="0" w:color="808080"/>
              <w:right w:val="nil"/>
            </w:tcBorders>
            <w:shd w:val="clear" w:color="auto" w:fill="FFFFFF"/>
          </w:tcPr>
          <w:p w14:paraId="7B9ADA89" w14:textId="77777777" w:rsidR="003C04B8" w:rsidRPr="00E03499" w:rsidRDefault="003C04B8" w:rsidP="003C04B8">
            <w:pPr>
              <w:jc w:val="both"/>
              <w:rPr>
                <w:b/>
                <w:sz w:val="10"/>
                <w:szCs w:val="20"/>
              </w:rPr>
            </w:pPr>
          </w:p>
          <w:p w14:paraId="7EBEB792" w14:textId="77777777" w:rsidR="003C04B8" w:rsidRPr="00E03499" w:rsidRDefault="003C04B8" w:rsidP="003C04B8">
            <w:pPr>
              <w:jc w:val="both"/>
              <w:rPr>
                <w:b/>
                <w:szCs w:val="20"/>
              </w:rPr>
            </w:pPr>
            <w:r w:rsidRPr="00E03499">
              <w:rPr>
                <w:noProof/>
                <w:szCs w:val="20"/>
                <w:lang w:eastAsia="en-NZ"/>
              </w:rPr>
              <w:drawing>
                <wp:inline distT="0" distB="0" distL="0" distR="0" wp14:anchorId="69079FD8" wp14:editId="648C01D3">
                  <wp:extent cx="990600" cy="952500"/>
                  <wp:effectExtent l="0" t="0" r="0" b="0"/>
                  <wp:docPr id="3" name="Picture 3" descr="Description: Description: Description: C:\Users\amessent\AppData\Local\Microsoft\Windows\Temporary Internet Files\Content.Outlook\MN1HAVZZ\Brand NZ-no agency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messent\AppData\Local\Microsoft\Windows\Temporary Internet Files\Content.Outlook\MN1HAVZZ\Brand NZ-no agency High 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tc>
        <w:tc>
          <w:tcPr>
            <w:tcW w:w="7087" w:type="dxa"/>
            <w:tcBorders>
              <w:top w:val="single" w:sz="6" w:space="0" w:color="808080"/>
              <w:left w:val="nil"/>
              <w:bottom w:val="single" w:sz="6" w:space="0" w:color="808080"/>
              <w:right w:val="nil"/>
            </w:tcBorders>
            <w:shd w:val="clear" w:color="auto" w:fill="FFFFFF"/>
          </w:tcPr>
          <w:p w14:paraId="75955B57" w14:textId="77777777" w:rsidR="003C04B8" w:rsidRPr="00E03499" w:rsidRDefault="003C04B8" w:rsidP="003C04B8">
            <w:pPr>
              <w:spacing w:line="360" w:lineRule="auto"/>
              <w:jc w:val="right"/>
              <w:rPr>
                <w:b/>
                <w:szCs w:val="20"/>
              </w:rPr>
            </w:pPr>
          </w:p>
          <w:p w14:paraId="7DDE09D2" w14:textId="77777777" w:rsidR="003C04B8" w:rsidRPr="00E03499" w:rsidRDefault="003C04B8" w:rsidP="003C04B8">
            <w:pPr>
              <w:spacing w:line="360" w:lineRule="auto"/>
              <w:jc w:val="right"/>
              <w:rPr>
                <w:b/>
                <w:szCs w:val="20"/>
              </w:rPr>
            </w:pPr>
            <w:r w:rsidRPr="00E03499">
              <w:rPr>
                <w:b/>
                <w:szCs w:val="20"/>
              </w:rPr>
              <w:t xml:space="preserve">Human Rights Council </w:t>
            </w:r>
          </w:p>
          <w:p w14:paraId="4A2BA8D0" w14:textId="77777777" w:rsidR="003C04B8" w:rsidRPr="00E03499" w:rsidRDefault="003C04B8" w:rsidP="003C04B8">
            <w:pPr>
              <w:spacing w:line="360" w:lineRule="auto"/>
              <w:jc w:val="right"/>
              <w:rPr>
                <w:b/>
                <w:szCs w:val="20"/>
              </w:rPr>
            </w:pPr>
            <w:r>
              <w:rPr>
                <w:b/>
                <w:szCs w:val="20"/>
              </w:rPr>
              <w:t>26</w:t>
            </w:r>
            <w:r w:rsidRPr="00E03499">
              <w:rPr>
                <w:b/>
                <w:szCs w:val="20"/>
                <w:vertAlign w:val="superscript"/>
              </w:rPr>
              <w:t>th</w:t>
            </w:r>
            <w:r w:rsidRPr="00E03499">
              <w:rPr>
                <w:b/>
                <w:szCs w:val="20"/>
              </w:rPr>
              <w:t xml:space="preserve"> session of the Universal Periodic Review Working Group </w:t>
            </w:r>
          </w:p>
          <w:p w14:paraId="07F80038" w14:textId="77777777" w:rsidR="003C04B8" w:rsidRDefault="003C04B8" w:rsidP="003C04B8">
            <w:pPr>
              <w:spacing w:line="360" w:lineRule="auto"/>
              <w:jc w:val="right"/>
              <w:rPr>
                <w:b/>
                <w:szCs w:val="20"/>
              </w:rPr>
            </w:pPr>
            <w:r w:rsidRPr="005C734F">
              <w:rPr>
                <w:b/>
                <w:szCs w:val="20"/>
              </w:rPr>
              <w:t xml:space="preserve">Bolivarian Republic of Venezuela </w:t>
            </w:r>
          </w:p>
          <w:p w14:paraId="502D10DA" w14:textId="1CCCF033" w:rsidR="003C04B8" w:rsidRPr="00E03499" w:rsidRDefault="003C04B8" w:rsidP="003C04B8">
            <w:pPr>
              <w:spacing w:line="360" w:lineRule="auto"/>
              <w:jc w:val="right"/>
              <w:rPr>
                <w:b/>
                <w:szCs w:val="20"/>
              </w:rPr>
            </w:pPr>
            <w:r>
              <w:rPr>
                <w:b/>
                <w:szCs w:val="20"/>
              </w:rPr>
              <w:t>Delivered by Acting Permanent Representative</w:t>
            </w:r>
            <w:r w:rsidRPr="00E03499">
              <w:rPr>
                <w:b/>
                <w:szCs w:val="20"/>
              </w:rPr>
              <w:t xml:space="preserve"> Carl Reaich</w:t>
            </w:r>
          </w:p>
          <w:p w14:paraId="6BEC50FC" w14:textId="77777777" w:rsidR="003C04B8" w:rsidRPr="00E03499" w:rsidRDefault="003C04B8" w:rsidP="003C04B8">
            <w:pPr>
              <w:spacing w:line="360" w:lineRule="auto"/>
              <w:jc w:val="right"/>
              <w:rPr>
                <w:b/>
                <w:sz w:val="16"/>
                <w:szCs w:val="20"/>
              </w:rPr>
            </w:pPr>
            <w:r>
              <w:rPr>
                <w:b/>
                <w:szCs w:val="20"/>
              </w:rPr>
              <w:t>1 November</w:t>
            </w:r>
            <w:r w:rsidRPr="00E03499">
              <w:rPr>
                <w:b/>
                <w:szCs w:val="20"/>
              </w:rPr>
              <w:t xml:space="preserve"> 2016</w:t>
            </w:r>
          </w:p>
        </w:tc>
      </w:tr>
    </w:tbl>
    <w:p w14:paraId="1F0C8F28" w14:textId="77777777" w:rsidR="000F019E" w:rsidRPr="00E03499" w:rsidRDefault="000F019E" w:rsidP="00E03499">
      <w:pPr>
        <w:spacing w:line="360" w:lineRule="auto"/>
        <w:jc w:val="both"/>
        <w:rPr>
          <w:szCs w:val="20"/>
        </w:rPr>
      </w:pPr>
    </w:p>
    <w:p w14:paraId="6EE3C115" w14:textId="77777777" w:rsidR="00E03499" w:rsidRPr="00E03499" w:rsidRDefault="00E03499" w:rsidP="00E03499">
      <w:pPr>
        <w:tabs>
          <w:tab w:val="clear" w:pos="567"/>
        </w:tabs>
        <w:spacing w:line="360" w:lineRule="auto"/>
        <w:jc w:val="both"/>
        <w:rPr>
          <w:szCs w:val="20"/>
          <w:lang w:bidi="ar-DZ"/>
        </w:rPr>
      </w:pPr>
      <w:r w:rsidRPr="00E03499">
        <w:rPr>
          <w:szCs w:val="20"/>
          <w:lang w:bidi="ar-DZ"/>
        </w:rPr>
        <w:t>Mr President,</w:t>
      </w:r>
    </w:p>
    <w:p w14:paraId="6EE3C116" w14:textId="77777777" w:rsidR="00E03499" w:rsidRPr="00E03499" w:rsidRDefault="00E03499" w:rsidP="00E03499">
      <w:pPr>
        <w:tabs>
          <w:tab w:val="clear" w:pos="567"/>
        </w:tabs>
        <w:spacing w:line="360" w:lineRule="auto"/>
        <w:jc w:val="both"/>
        <w:rPr>
          <w:szCs w:val="20"/>
          <w:lang w:bidi="ar-DZ"/>
        </w:rPr>
      </w:pPr>
    </w:p>
    <w:p w14:paraId="08D044E9" w14:textId="2C177633" w:rsidR="00862237" w:rsidRDefault="00E03499" w:rsidP="00862237">
      <w:pPr>
        <w:tabs>
          <w:tab w:val="clear" w:pos="567"/>
        </w:tabs>
        <w:spacing w:line="360" w:lineRule="auto"/>
        <w:jc w:val="both"/>
      </w:pPr>
      <w:r w:rsidRPr="00E03499">
        <w:rPr>
          <w:szCs w:val="20"/>
          <w:lang w:bidi="ar-DZ"/>
        </w:rPr>
        <w:t>New Zealan</w:t>
      </w:r>
      <w:r w:rsidR="00862237">
        <w:rPr>
          <w:szCs w:val="20"/>
          <w:lang w:bidi="ar-DZ"/>
        </w:rPr>
        <w:t xml:space="preserve">d welcomes the delegation from </w:t>
      </w:r>
      <w:r w:rsidR="009818CB">
        <w:rPr>
          <w:szCs w:val="20"/>
          <w:lang w:bidi="ar-DZ"/>
        </w:rPr>
        <w:t xml:space="preserve">the </w:t>
      </w:r>
      <w:r w:rsidR="00862237" w:rsidRPr="00862237">
        <w:rPr>
          <w:szCs w:val="20"/>
          <w:lang w:bidi="ar-DZ"/>
        </w:rPr>
        <w:t>Bolivarian Republic of Venezuela</w:t>
      </w:r>
      <w:r w:rsidR="005C44BF">
        <w:rPr>
          <w:szCs w:val="20"/>
          <w:lang w:bidi="ar-DZ"/>
        </w:rPr>
        <w:t xml:space="preserve"> to the Human Rights Council. </w:t>
      </w:r>
      <w:r w:rsidR="00862237">
        <w:rPr>
          <w:szCs w:val="20"/>
          <w:lang w:bidi="ar-DZ"/>
        </w:rPr>
        <w:t xml:space="preserve">New Zealand </w:t>
      </w:r>
      <w:r w:rsidR="00ED0F9F">
        <w:rPr>
          <w:szCs w:val="20"/>
          <w:lang w:bidi="ar-DZ"/>
        </w:rPr>
        <w:t>notes</w:t>
      </w:r>
      <w:r w:rsidR="00862237" w:rsidRPr="00862237">
        <w:rPr>
          <w:szCs w:val="20"/>
          <w:lang w:bidi="ar-DZ"/>
        </w:rPr>
        <w:t xml:space="preserve"> the progress that has been made since Venezuela’s first URP in October 2011, </w:t>
      </w:r>
      <w:r w:rsidR="00862237">
        <w:rPr>
          <w:szCs w:val="20"/>
          <w:lang w:bidi="ar-DZ"/>
        </w:rPr>
        <w:t>including</w:t>
      </w:r>
      <w:r w:rsidR="00862237" w:rsidRPr="00862237">
        <w:rPr>
          <w:szCs w:val="20"/>
          <w:lang w:bidi="ar-DZ"/>
        </w:rPr>
        <w:t xml:space="preserve"> ratification of the Convention of the Rights of Persons with Disabilities in September 2013</w:t>
      </w:r>
      <w:r w:rsidR="00862237">
        <w:rPr>
          <w:szCs w:val="20"/>
          <w:lang w:bidi="ar-DZ"/>
        </w:rPr>
        <w:t>.</w:t>
      </w:r>
      <w:r w:rsidR="005C44BF">
        <w:rPr>
          <w:szCs w:val="20"/>
          <w:lang w:bidi="ar-DZ"/>
        </w:rPr>
        <w:t xml:space="preserve"> </w:t>
      </w:r>
      <w:r w:rsidR="009818CB">
        <w:t>The</w:t>
      </w:r>
      <w:r w:rsidR="00862237">
        <w:t xml:space="preserve"> situation overall</w:t>
      </w:r>
      <w:r w:rsidR="009818CB">
        <w:t>, however,</w:t>
      </w:r>
      <w:r w:rsidR="00862237">
        <w:t xml:space="preserve"> remains concerning and has been exacerbated by the ongoing economic crisis.</w:t>
      </w:r>
      <w:r w:rsidR="005E2D8D">
        <w:t xml:space="preserve"> </w:t>
      </w:r>
    </w:p>
    <w:p w14:paraId="06DFC6CE" w14:textId="77777777" w:rsidR="00862237" w:rsidRDefault="00862237" w:rsidP="00862237">
      <w:pPr>
        <w:tabs>
          <w:tab w:val="clear" w:pos="567"/>
        </w:tabs>
        <w:spacing w:line="360" w:lineRule="auto"/>
        <w:jc w:val="both"/>
      </w:pPr>
    </w:p>
    <w:p w14:paraId="7BA33994" w14:textId="77777777" w:rsidR="00003120" w:rsidRDefault="00003120" w:rsidP="00003120">
      <w:pPr>
        <w:tabs>
          <w:tab w:val="clear" w:pos="567"/>
        </w:tabs>
        <w:spacing w:line="360" w:lineRule="auto"/>
        <w:jc w:val="both"/>
      </w:pPr>
      <w:r>
        <w:rPr>
          <w:szCs w:val="20"/>
          <w:lang w:bidi="ar-DZ"/>
        </w:rPr>
        <w:t xml:space="preserve">New Zealand welcomes Venezuela’s National Human Rights Plan and </w:t>
      </w:r>
      <w:r w:rsidRPr="005C734F">
        <w:rPr>
          <w:b/>
          <w:szCs w:val="20"/>
          <w:lang w:bidi="ar-DZ"/>
        </w:rPr>
        <w:t>r</w:t>
      </w:r>
      <w:r w:rsidRPr="005C734F">
        <w:rPr>
          <w:b/>
        </w:rPr>
        <w:t>ecommends</w:t>
      </w:r>
      <w:r w:rsidRPr="00FE0945">
        <w:t xml:space="preserve"> </w:t>
      </w:r>
      <w:r>
        <w:t>that Venezuela develop and make public clear indicators to monitor progress in the Plan’s implementation and allocate necessary resources to support implementation.</w:t>
      </w:r>
    </w:p>
    <w:p w14:paraId="4507237F" w14:textId="77777777" w:rsidR="00003120" w:rsidRDefault="00003120" w:rsidP="00862237">
      <w:pPr>
        <w:tabs>
          <w:tab w:val="clear" w:pos="567"/>
        </w:tabs>
        <w:spacing w:line="360" w:lineRule="auto"/>
        <w:jc w:val="both"/>
      </w:pPr>
    </w:p>
    <w:p w14:paraId="51DA7EBD" w14:textId="0616BBD0" w:rsidR="00862237" w:rsidRDefault="00862237" w:rsidP="00862237">
      <w:pPr>
        <w:tabs>
          <w:tab w:val="clear" w:pos="567"/>
        </w:tabs>
        <w:spacing w:line="360" w:lineRule="auto"/>
        <w:jc w:val="both"/>
      </w:pPr>
      <w:r>
        <w:t xml:space="preserve">New Zealand </w:t>
      </w:r>
      <w:r w:rsidRPr="00862237">
        <w:rPr>
          <w:b/>
        </w:rPr>
        <w:t>recommends</w:t>
      </w:r>
      <w:r>
        <w:t xml:space="preserve"> that Venezuela </w:t>
      </w:r>
      <w:r w:rsidR="005E2D8D" w:rsidRPr="005E2D8D">
        <w:t>ensures that no one is detained arbitrarily and that all persons who are charged with an offense have access to a fair and impartial trial, while ensuring the independence of the judiciary.</w:t>
      </w:r>
      <w:r w:rsidR="005E2D8D">
        <w:t xml:space="preserve"> Further to this, New Zealand </w:t>
      </w:r>
      <w:proofErr w:type="gramStart"/>
      <w:r w:rsidR="005E2D8D" w:rsidRPr="005E2D8D">
        <w:rPr>
          <w:b/>
        </w:rPr>
        <w:t>recommends</w:t>
      </w:r>
      <w:proofErr w:type="gramEnd"/>
      <w:r w:rsidR="005E2D8D">
        <w:t xml:space="preserve"> the ratification of the</w:t>
      </w:r>
      <w:r w:rsidR="005E2D8D" w:rsidRPr="005E2D8D">
        <w:t xml:space="preserve"> Optional Protocol to the Convention against Tortu</w:t>
      </w:r>
      <w:r w:rsidR="00ED0F9F">
        <w:t>re and Other Cruel, Inhuman or D</w:t>
      </w:r>
      <w:r w:rsidR="005E2D8D" w:rsidRPr="005E2D8D">
        <w:t>egrading Treatment or Punishment.</w:t>
      </w:r>
    </w:p>
    <w:p w14:paraId="596733D4" w14:textId="77777777" w:rsidR="005E2D8D" w:rsidRDefault="005E2D8D" w:rsidP="00862237">
      <w:pPr>
        <w:tabs>
          <w:tab w:val="clear" w:pos="567"/>
        </w:tabs>
        <w:spacing w:line="360" w:lineRule="auto"/>
        <w:jc w:val="both"/>
      </w:pPr>
    </w:p>
    <w:p w14:paraId="673C3118" w14:textId="6EBCA754" w:rsidR="005E2D8D" w:rsidRPr="009818CB" w:rsidRDefault="005E2D8D" w:rsidP="00862237">
      <w:pPr>
        <w:tabs>
          <w:tab w:val="clear" w:pos="567"/>
        </w:tabs>
        <w:spacing w:line="360" w:lineRule="auto"/>
        <w:jc w:val="both"/>
        <w:rPr>
          <w:szCs w:val="20"/>
          <w:lang w:bidi="ar-DZ"/>
        </w:rPr>
      </w:pPr>
      <w:r w:rsidRPr="009818CB">
        <w:t>F</w:t>
      </w:r>
      <w:r w:rsidR="00ED0F9F" w:rsidRPr="009818CB">
        <w:t>reedom of expression remains a</w:t>
      </w:r>
      <w:r w:rsidRPr="009818CB">
        <w:t xml:space="preserve"> major challenge and New Zealand </w:t>
      </w:r>
      <w:r w:rsidRPr="009818CB">
        <w:rPr>
          <w:b/>
          <w:szCs w:val="20"/>
          <w:lang w:bidi="ar-DZ"/>
        </w:rPr>
        <w:t>recommends</w:t>
      </w:r>
      <w:r w:rsidRPr="009818CB">
        <w:rPr>
          <w:szCs w:val="20"/>
          <w:lang w:bidi="ar-DZ"/>
        </w:rPr>
        <w:t xml:space="preserve"> that Venezuela take steps to ensure the right to freedom of expression including to ensure that journalists and media workers can carry out their work independently while protecting their well-being.</w:t>
      </w:r>
    </w:p>
    <w:p w14:paraId="564790D3" w14:textId="77777777" w:rsidR="005E2D8D" w:rsidRPr="009818CB" w:rsidRDefault="005E2D8D" w:rsidP="00862237">
      <w:pPr>
        <w:tabs>
          <w:tab w:val="clear" w:pos="567"/>
        </w:tabs>
        <w:spacing w:line="360" w:lineRule="auto"/>
        <w:jc w:val="both"/>
        <w:rPr>
          <w:szCs w:val="20"/>
          <w:lang w:bidi="ar-DZ"/>
        </w:rPr>
      </w:pPr>
    </w:p>
    <w:p w14:paraId="3691D404" w14:textId="45BB14FB" w:rsidR="005C734F" w:rsidRDefault="005E2D8D" w:rsidP="005C734F">
      <w:pPr>
        <w:tabs>
          <w:tab w:val="clear" w:pos="567"/>
        </w:tabs>
        <w:spacing w:line="360" w:lineRule="auto"/>
        <w:jc w:val="both"/>
        <w:rPr>
          <w:szCs w:val="20"/>
          <w:lang w:bidi="ar-DZ"/>
        </w:rPr>
      </w:pPr>
      <w:r w:rsidRPr="009818CB">
        <w:t>Prison conditions remain a serious concern</w:t>
      </w:r>
      <w:r w:rsidRPr="009818CB">
        <w:rPr>
          <w:szCs w:val="20"/>
          <w:lang w:bidi="ar-DZ"/>
        </w:rPr>
        <w:t xml:space="preserve">. </w:t>
      </w:r>
      <w:r w:rsidR="00E03499" w:rsidRPr="009818CB">
        <w:rPr>
          <w:szCs w:val="20"/>
          <w:lang w:bidi="ar-DZ"/>
        </w:rPr>
        <w:t xml:space="preserve">New Zealand </w:t>
      </w:r>
      <w:r w:rsidR="00E03499" w:rsidRPr="009818CB">
        <w:rPr>
          <w:b/>
          <w:szCs w:val="20"/>
          <w:lang w:bidi="ar-DZ"/>
        </w:rPr>
        <w:t>recommends</w:t>
      </w:r>
      <w:r w:rsidR="00862237" w:rsidRPr="009818CB">
        <w:rPr>
          <w:szCs w:val="20"/>
          <w:lang w:bidi="ar-DZ"/>
        </w:rPr>
        <w:t xml:space="preserve"> that Venezuela</w:t>
      </w:r>
      <w:r w:rsidRPr="009818CB">
        <w:t xml:space="preserve"> </w:t>
      </w:r>
      <w:r w:rsidRPr="009818CB">
        <w:rPr>
          <w:szCs w:val="20"/>
          <w:lang w:bidi="ar-DZ"/>
        </w:rPr>
        <w:t xml:space="preserve">ensure that all prisoners are provided with the minimum standards of humane treatment and that the conditions of all prisons and detention centres meet international human rights standards, including the UN Standard Minimum Rules for the Treatment of Prisoners. </w:t>
      </w:r>
    </w:p>
    <w:p w14:paraId="6EE3C120" w14:textId="77777777" w:rsidR="00E03499" w:rsidRPr="00E03499" w:rsidRDefault="00E03499" w:rsidP="00E03499">
      <w:pPr>
        <w:tabs>
          <w:tab w:val="clear" w:pos="567"/>
        </w:tabs>
        <w:spacing w:line="240" w:lineRule="auto"/>
        <w:jc w:val="both"/>
        <w:rPr>
          <w:rFonts w:ascii="Arial" w:hAnsi="Arial"/>
          <w:sz w:val="24"/>
          <w:lang w:bidi="ar-DZ"/>
        </w:rPr>
      </w:pPr>
    </w:p>
    <w:p w14:paraId="6EE3C172" w14:textId="673FD6BD" w:rsidR="00803EF1" w:rsidRPr="003C04B8" w:rsidRDefault="003C04B8" w:rsidP="003C04B8">
      <w:pPr>
        <w:spacing w:line="360" w:lineRule="auto"/>
        <w:jc w:val="both"/>
        <w:rPr>
          <w:rFonts w:ascii="Arial" w:hAnsi="Arial"/>
          <w:sz w:val="22"/>
          <w:szCs w:val="22"/>
          <w:lang w:bidi="ar-DZ"/>
        </w:rPr>
      </w:pPr>
      <w:r>
        <w:t xml:space="preserve">Thank you Mr President. </w:t>
      </w:r>
      <w:bookmarkStart w:id="0" w:name="_GoBack"/>
      <w:bookmarkEnd w:id="0"/>
    </w:p>
    <w:sectPr w:rsidR="00803EF1" w:rsidRPr="003C04B8" w:rsidSect="002B6045">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70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D11D1" w14:textId="77777777" w:rsidR="00992047" w:rsidRDefault="00992047" w:rsidP="00023335">
      <w:pPr>
        <w:spacing w:line="240" w:lineRule="auto"/>
      </w:pPr>
      <w:r>
        <w:separator/>
      </w:r>
    </w:p>
  </w:endnote>
  <w:endnote w:type="continuationSeparator" w:id="0">
    <w:p w14:paraId="5DF4D1AF" w14:textId="77777777" w:rsidR="00992047" w:rsidRDefault="00992047"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D153" w14:textId="77777777" w:rsidR="003C04B8" w:rsidRDefault="003C0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C183" w14:textId="77777777" w:rsidR="00023335" w:rsidRDefault="00023335" w:rsidP="00CE1AA0">
    <w:pPr>
      <w:pStyle w:val="Footer"/>
      <w:jc w:val="center"/>
    </w:pPr>
    <w:bookmarkStart w:id="2" w:name="covering_classification_footer2"/>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C189" w14:textId="77777777" w:rsidR="00023335" w:rsidRDefault="00023335" w:rsidP="00CE1AA0">
    <w:pPr>
      <w:pStyle w:val="Footer"/>
      <w:jc w:val="center"/>
    </w:pPr>
    <w:bookmarkStart w:id="4" w:name="covering_classification_foote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463CC" w14:textId="77777777" w:rsidR="00992047" w:rsidRDefault="00992047" w:rsidP="00023335">
      <w:pPr>
        <w:spacing w:line="240" w:lineRule="auto"/>
      </w:pPr>
      <w:r>
        <w:separator/>
      </w:r>
    </w:p>
  </w:footnote>
  <w:footnote w:type="continuationSeparator" w:id="0">
    <w:p w14:paraId="4EF58D78" w14:textId="77777777" w:rsidR="00992047" w:rsidRDefault="00992047" w:rsidP="000233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A0299" w14:textId="77777777" w:rsidR="003C04B8" w:rsidRDefault="003C0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C17C" w14:textId="77777777" w:rsidR="00CE1AA0" w:rsidRPr="00D175FF" w:rsidRDefault="00CE1AA0" w:rsidP="00CE1AA0">
    <w:pPr>
      <w:jc w:val="center"/>
    </w:pPr>
    <w:bookmarkStart w:id="1" w:name="covering_classification_header2"/>
    <w:bookmarkEnd w:id="1"/>
  </w:p>
  <w:p w14:paraId="6EE3C17D" w14:textId="77777777" w:rsidR="00CE1AA0" w:rsidRPr="00F452A0" w:rsidRDefault="00CE1AA0" w:rsidP="00CE1AA0">
    <w:pPr>
      <w:pStyle w:val="Header"/>
      <w:jc w:val="center"/>
      <w:rPr>
        <w:rStyle w:val="PageNumber"/>
      </w:rPr>
    </w:pPr>
  </w:p>
  <w:p w14:paraId="6EE3C17E" w14:textId="77777777" w:rsidR="00CE1AA0" w:rsidRPr="00F452A0" w:rsidRDefault="00CE1AA0"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3C04B8">
      <w:rPr>
        <w:rStyle w:val="PageNumber"/>
        <w:noProof/>
      </w:rPr>
      <w:t>2</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3C04B8">
      <w:rPr>
        <w:rStyle w:val="PageNumber"/>
        <w:noProof/>
      </w:rPr>
      <w:t>2</w:t>
    </w:r>
    <w:r w:rsidRPr="00F452A0">
      <w:rPr>
        <w:rStyle w:val="PageNumber"/>
      </w:rPr>
      <w:fldChar w:fldCharType="end"/>
    </w:r>
  </w:p>
  <w:p w14:paraId="6EE3C17F" w14:textId="77777777" w:rsidR="00023335" w:rsidRPr="00023335" w:rsidRDefault="00023335" w:rsidP="000233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C185" w14:textId="77777777" w:rsidR="00023335" w:rsidRDefault="00023335" w:rsidP="00CE1AA0">
    <w:pPr>
      <w:pStyle w:val="SecurityClassification"/>
    </w:pPr>
    <w:bookmarkStart w:id="3" w:name="covering_classification_heade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2EB45FEE"/>
    <w:multiLevelType w:val="hybridMultilevel"/>
    <w:tmpl w:val="5260C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8">
    <w:nsid w:val="59ED1B74"/>
    <w:multiLevelType w:val="hybridMultilevel"/>
    <w:tmpl w:val="CFE2C5BC"/>
    <w:lvl w:ilvl="0" w:tplc="B9BE3F3E">
      <w:start w:val="1"/>
      <w:numFmt w:val="decimal"/>
      <w:lvlText w:val="%1"/>
      <w:lvlJc w:val="left"/>
      <w:pPr>
        <w:ind w:left="720" w:hanging="360"/>
      </w:pPr>
      <w:rPr>
        <w:rFonts w:ascii="Verdana" w:hAnsi="Verdana"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B1C23A3"/>
    <w:multiLevelType w:val="hybridMultilevel"/>
    <w:tmpl w:val="993AA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7"/>
  </w:num>
  <w:num w:numId="6">
    <w:abstractNumId w:val="6"/>
  </w:num>
  <w:num w:numId="7">
    <w:abstractNumId w:val="1"/>
  </w:num>
  <w:num w:numId="8">
    <w:abstractNumId w:val="8"/>
  </w:num>
  <w:num w:numId="9">
    <w:abstractNumId w:val="9"/>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99"/>
    <w:rsid w:val="00003120"/>
    <w:rsid w:val="00023335"/>
    <w:rsid w:val="00071F86"/>
    <w:rsid w:val="000A3B90"/>
    <w:rsid w:val="000F019E"/>
    <w:rsid w:val="001A55B8"/>
    <w:rsid w:val="002173C7"/>
    <w:rsid w:val="00236A09"/>
    <w:rsid w:val="002402F5"/>
    <w:rsid w:val="00255554"/>
    <w:rsid w:val="00291F8E"/>
    <w:rsid w:val="002A7F2E"/>
    <w:rsid w:val="002B6045"/>
    <w:rsid w:val="00303A38"/>
    <w:rsid w:val="003B5DB1"/>
    <w:rsid w:val="003C04B8"/>
    <w:rsid w:val="003E5F24"/>
    <w:rsid w:val="003F4A6D"/>
    <w:rsid w:val="00515590"/>
    <w:rsid w:val="005C44BF"/>
    <w:rsid w:val="005C734F"/>
    <w:rsid w:val="005E2D8D"/>
    <w:rsid w:val="005F099A"/>
    <w:rsid w:val="005F1313"/>
    <w:rsid w:val="00631640"/>
    <w:rsid w:val="006A699C"/>
    <w:rsid w:val="006E5334"/>
    <w:rsid w:val="00766D9F"/>
    <w:rsid w:val="00803EF1"/>
    <w:rsid w:val="00832846"/>
    <w:rsid w:val="00862237"/>
    <w:rsid w:val="008A31F0"/>
    <w:rsid w:val="008D17C5"/>
    <w:rsid w:val="008D2C23"/>
    <w:rsid w:val="0092489C"/>
    <w:rsid w:val="009602EC"/>
    <w:rsid w:val="009818CB"/>
    <w:rsid w:val="00992047"/>
    <w:rsid w:val="009D261D"/>
    <w:rsid w:val="009D40EF"/>
    <w:rsid w:val="009F5D27"/>
    <w:rsid w:val="00A65127"/>
    <w:rsid w:val="00A7081E"/>
    <w:rsid w:val="00AE0B06"/>
    <w:rsid w:val="00B37FF1"/>
    <w:rsid w:val="00B72B22"/>
    <w:rsid w:val="00CE1AA0"/>
    <w:rsid w:val="00D96C65"/>
    <w:rsid w:val="00DB5226"/>
    <w:rsid w:val="00E03499"/>
    <w:rsid w:val="00EA04C8"/>
    <w:rsid w:val="00ED0F9F"/>
    <w:rsid w:val="00F06D90"/>
    <w:rsid w:val="00FC0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3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rsid w:val="008A31F0"/>
    <w:pPr>
      <w:spacing w:before="120" w:after="120" w:line="288" w:lineRule="auto"/>
    </w:pPr>
    <w:rPr>
      <w:rFonts w:ascii="Verdana" w:hAnsi="Verdana"/>
    </w:rPr>
  </w:style>
  <w:style w:type="character" w:customStyle="1" w:styleId="NumberChar">
    <w:name w:val="Number Char"/>
    <w:link w:val="Number"/>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E034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4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49" w:qFormat="1"/>
    <w:lsdException w:name="List Number" w:uiPriority="49" w:qFormat="1"/>
    <w:lsdException w:name="Title" w:semiHidden="0" w:uiPriority="2"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rsid w:val="008A31F0"/>
    <w:pPr>
      <w:spacing w:before="120" w:after="120" w:line="288" w:lineRule="auto"/>
    </w:pPr>
    <w:rPr>
      <w:rFonts w:ascii="Verdana" w:hAnsi="Verdana"/>
    </w:rPr>
  </w:style>
  <w:style w:type="character" w:customStyle="1" w:styleId="NumberChar">
    <w:name w:val="Number Char"/>
    <w:link w:val="Number"/>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E034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25</Order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04DB749348895D45835E16B3A3606D58" ma:contentTypeVersion="13" ma:contentTypeDescription="Blank Document" ma:contentTypeScope="" ma:versionID="faa9cf37693b53cbeebc301e7c675cda">
  <xsd:schema xmlns:xsd="http://www.w3.org/2001/XMLSchema" xmlns:xs="http://www.w3.org/2001/XMLSchema" xmlns:p="http://schemas.microsoft.com/office/2006/metadata/properties" xmlns:ns1="http://schemas.microsoft.com/sharepoint/v3" xmlns:ns2="3530594a-bd7c-48c9-91f8-7517fdc1c0cb" xmlns:ns4="http://schemas.microsoft.com/sharepoint/v4" targetNamespace="http://schemas.microsoft.com/office/2006/metadata/properties" ma:root="true" ma:fieldsID="68cd9891e5fe10866411e9747592433e" ns1:_="" ns2:_="" ns4:_="">
    <xsd:import namespace="http://schemas.microsoft.com/sharepoint/v3"/>
    <xsd:import namespace="3530594a-bd7c-48c9-91f8-7517fdc1c0cb"/>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e31391fa-aadc-4e01-9285-fa2ced9a385e"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default="89;#Venezuela|83da1243-ee81-42b2-8063-d101a896a325"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EC49BB36CE9A7458ED7ECCA17BF8B1F" ma:contentTypeVersion="2" ma:contentTypeDescription="Country Statements" ma:contentTypeScope="" ma:versionID="30b035114042191c5a12eda8e0102c3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430B1-034C-421E-B72F-1B5796001876}"/>
</file>

<file path=customXml/itemProps2.xml><?xml version="1.0" encoding="utf-8"?>
<ds:datastoreItem xmlns:ds="http://schemas.openxmlformats.org/officeDocument/2006/customXml" ds:itemID="{87D7607C-F6D1-4A85-96C6-13FF7E091E04}"/>
</file>

<file path=customXml/itemProps3.xml><?xml version="1.0" encoding="utf-8"?>
<ds:datastoreItem xmlns:ds="http://schemas.openxmlformats.org/officeDocument/2006/customXml" ds:itemID="{4CAAC60C-BC48-4473-9309-CDA8E79A6E66}"/>
</file>

<file path=customXml/itemProps4.xml><?xml version="1.0" encoding="utf-8"?>
<ds:datastoreItem xmlns:ds="http://schemas.openxmlformats.org/officeDocument/2006/customXml" ds:itemID="{212430B1-034C-421E-B72F-1B5796001876}">
  <ds:schemaRefs>
    <ds:schemaRef ds:uri="http://schemas.microsoft.com/sharepoint/v3/contenttype/forms"/>
  </ds:schemaRefs>
</ds:datastoreItem>
</file>

<file path=customXml/itemProps5.xml><?xml version="1.0" encoding="utf-8"?>
<ds:datastoreItem xmlns:ds="http://schemas.openxmlformats.org/officeDocument/2006/customXml" ds:itemID="{2A21513D-E140-4403-BBC1-F97F74F9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6167D9-CF98-426B-9B44-772AAF15759F}"/>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Venezuela UPR statement November 2016</vt:lpstr>
    </vt:vector>
  </TitlesOfParts>
  <Company>Ministry of Foreign Affairs and Trade</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dc:title>
  <dc:creator>NEILSON, Kate (UNHC)</dc:creator>
  <cp:lastModifiedBy>MFAT</cp:lastModifiedBy>
  <cp:revision>3</cp:revision>
  <cp:lastPrinted>2016-10-30T22:06:00Z</cp:lastPrinted>
  <dcterms:created xsi:type="dcterms:W3CDTF">2016-10-31T12:44:00Z</dcterms:created>
  <dcterms:modified xsi:type="dcterms:W3CDTF">2016-10-31T12:45:00Z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0x010100CA92D31222379248846EF4F1EBFB5EDE007EC49BB36CE9A7458ED7ECCA17BF8B1F</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32dddda8-accb-4dd1-a79c-088aab294d2a</vt:lpwstr>
  </property>
  <property fmtid="{D5CDD505-2E9C-101B-9397-08002B2CF9AE}" pid="6" name="Order">
    <vt:r8>99700</vt:r8>
  </property>
  <property fmtid="{D5CDD505-2E9C-101B-9397-08002B2CF9AE}" pid="7" name="Topic">
    <vt:lpwstr/>
  </property>
  <property fmtid="{D5CDD505-2E9C-101B-9397-08002B2CF9AE}" pid="8" name="SecurityClassification">
    <vt:lpwstr>226;#UNCLASSIFIED|738a72fd-0042-476f-991b-551c05ade48c</vt:lpwstr>
  </property>
  <property fmtid="{D5CDD505-2E9C-101B-9397-08002B2CF9AE}" pid="9" name="CoveringClassification">
    <vt:lpwstr/>
  </property>
  <property fmtid="{D5CDD505-2E9C-101B-9397-08002B2CF9AE}" pid="10" name="Country">
    <vt:lpwstr>89;#Venezuela|83da1243-ee81-42b2-8063-d101a896a325</vt:lpwstr>
  </property>
  <property fmtid="{D5CDD505-2E9C-101B-9397-08002B2CF9AE}" pid="11" name="SecurityCaveat">
    <vt:lpwstr/>
  </property>
</Properties>
</file>